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E9AB" w14:textId="77777777" w:rsidR="00EA4B7C" w:rsidRPr="008068E4" w:rsidRDefault="00EA4B7C" w:rsidP="00EA4B7C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Voyage dans l’histoire du hockey : enquêteurs et reporters (1)</w:t>
      </w:r>
    </w:p>
    <w:p w14:paraId="4595ECE8" w14:textId="77777777" w:rsidR="00EA4B7C" w:rsidRPr="008068E4" w:rsidRDefault="00EA4B7C" w:rsidP="00EA4B7C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5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23AE6B6F" w14:textId="77777777" w:rsidR="00EA4B7C" w:rsidRDefault="00EA4B7C" w:rsidP="00EA4B7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308"/>
      </w:tblGrid>
      <w:tr w:rsidR="00EA4B7C" w14:paraId="32D7918E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755C420F" w14:textId="77777777" w:rsidR="00EA4B7C" w:rsidRDefault="00EA4B7C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6F5F3740" w14:textId="77777777" w:rsidR="00EA4B7C" w:rsidRDefault="00EA4B7C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s</w:t>
            </w:r>
            <w:proofErr w:type="spellStart"/>
            <w:r w:rsidRPr="00F4469A">
              <w:rPr>
                <w:lang w:val="fr-FR"/>
              </w:rPr>
              <w:t>ituer</w:t>
            </w:r>
            <w:proofErr w:type="spellEnd"/>
            <w:r w:rsidRPr="00F4469A">
              <w:rPr>
                <w:lang w:val="fr-FR"/>
              </w:rPr>
              <w:t xml:space="preserve"> des événements de l’histoire du hockey dans une frise chronologique et comprendre l’évolution du sport en lien avec des contextes historiques plus larges.</w:t>
            </w:r>
          </w:p>
        </w:tc>
      </w:tr>
      <w:tr w:rsidR="00EA4B7C" w14:paraId="567F109E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12F7BF71" w14:textId="77777777" w:rsidR="00EA4B7C" w:rsidRDefault="00EA4B7C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45781722" w14:textId="77777777" w:rsidR="00EA4B7C" w:rsidRDefault="00EA4B7C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Se repérer dans des périodes plus larges du temps historique</w:t>
            </w:r>
          </w:p>
          <w:p w14:paraId="2B1C5F53" w14:textId="77777777" w:rsidR="00EA4B7C" w:rsidRDefault="00EA4B7C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Situer des événements sur une ligne du temps</w:t>
            </w:r>
          </w:p>
          <w:p w14:paraId="7A81C32C" w14:textId="77777777" w:rsidR="00EA4B7C" w:rsidRDefault="00EA4B7C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Identifier des évolutions (matériel, diffusion mondiale du sport)</w:t>
            </w:r>
          </w:p>
          <w:p w14:paraId="5F296EE3" w14:textId="77777777" w:rsidR="00EA4B7C" w:rsidRDefault="00EA4B7C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Argumenter ses choix à partir de documents</w:t>
            </w:r>
          </w:p>
          <w:p w14:paraId="538FD6B3" w14:textId="77777777" w:rsidR="00EA4B7C" w:rsidRDefault="00EA4B7C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Collaborer pour résoudre une tâche complexe</w:t>
            </w:r>
          </w:p>
          <w:p w14:paraId="502C81DE" w14:textId="77777777" w:rsidR="00EA4B7C" w:rsidRPr="00883B5D" w:rsidRDefault="00EA4B7C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Développer l’esprit critique face aux sources. </w:t>
            </w:r>
          </w:p>
        </w:tc>
      </w:tr>
    </w:tbl>
    <w:p w14:paraId="63AD579C" w14:textId="77777777" w:rsidR="00EA4B7C" w:rsidRDefault="00EA4B7C" w:rsidP="00EA4B7C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EA4B7C" w14:paraId="0139263A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0C06F030" w14:textId="77777777" w:rsidR="00EA4B7C" w:rsidRDefault="00EA4B7C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EA4B7C" w:rsidRPr="008E2F67" w14:paraId="7F1B073D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087C28CF" w14:textId="77777777" w:rsidR="00EA4B7C" w:rsidRPr="008E2F67" w:rsidRDefault="00EA4B7C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1E364759" w14:textId="77777777" w:rsidR="00EA4B7C" w:rsidRPr="008E2F67" w:rsidRDefault="00EA4B7C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235BDE83" w14:textId="77777777" w:rsidR="00EA4B7C" w:rsidRPr="008E2F67" w:rsidRDefault="00EA4B7C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16741A20" w14:textId="77777777" w:rsidR="00EA4B7C" w:rsidRPr="008E2F67" w:rsidRDefault="00EA4B7C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EA4B7C" w:rsidRPr="008E2F67" w14:paraId="1AEF8CB8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4AF1ADE7" w14:textId="77777777" w:rsidR="00EA4B7C" w:rsidRPr="008E2F67" w:rsidRDefault="00EA4B7C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34A94704" w14:textId="77777777" w:rsidR="00EA4B7C" w:rsidRPr="008E2F67" w:rsidRDefault="00EA4B7C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35 min</w:t>
            </w:r>
          </w:p>
        </w:tc>
        <w:tc>
          <w:tcPr>
            <w:tcW w:w="5443" w:type="dxa"/>
          </w:tcPr>
          <w:p w14:paraId="5D1644F6" w14:textId="77777777" w:rsidR="00EA4B7C" w:rsidRPr="001F79E6" w:rsidRDefault="00EA4B7C" w:rsidP="0056313D">
            <w:pPr>
              <w:rPr>
                <w:sz w:val="20"/>
                <w:szCs w:val="20"/>
              </w:rPr>
            </w:pPr>
            <w:r w:rsidRPr="00883B5D">
              <w:t xml:space="preserve"> </w:t>
            </w:r>
          </w:p>
          <w:p w14:paraId="3A606969" w14:textId="77777777" w:rsidR="00EA4B7C" w:rsidRDefault="00EA4B7C" w:rsidP="0056313D">
            <w:pPr>
              <w:rPr>
                <w:lang w:val="fr-FR"/>
              </w:rPr>
            </w:pPr>
            <w:r w:rsidRPr="00561D07">
              <w:t>L’enseignant explique aux élèves la situation : « </w:t>
            </w:r>
            <w:r w:rsidRPr="008E6B27">
              <w:rPr>
                <w:lang w:val="fr-FR"/>
              </w:rPr>
              <w:t>Le musée du hockey a perdu l’ordre de ses archives pour la grande exposition mondiale</w:t>
            </w:r>
            <w:r>
              <w:rPr>
                <w:lang w:val="fr-FR"/>
              </w:rPr>
              <w:t>.</w:t>
            </w:r>
            <w:r w:rsidRPr="008E6B27">
              <w:rPr>
                <w:lang w:val="fr-FR"/>
              </w:rPr>
              <w:t xml:space="preserve"> Vous êtes les historiens officiels de la Coupe du monde 2026. À vous de remettre les événements dans l’ordre pour que les visiteurs puissent comprendre l’histoire et l’évolution de ce sport.</w:t>
            </w:r>
            <w:r>
              <w:rPr>
                <w:lang w:val="fr-FR"/>
              </w:rPr>
              <w:t> »</w:t>
            </w:r>
          </w:p>
          <w:p w14:paraId="1FB8A508" w14:textId="77777777" w:rsidR="00EA4B7C" w:rsidRDefault="00EA4B7C" w:rsidP="0056313D"/>
          <w:p w14:paraId="099FED1D" w14:textId="77777777" w:rsidR="00EA4B7C" w:rsidRDefault="00EA4B7C" w:rsidP="0056313D">
            <w:r>
              <w:t xml:space="preserve">Les élèves reçoivent des documents : première Coupe d’Europe en 1970, hockey aux JO dès 1908, création de la fédération internationale, évolution du matériel, reconnaissance des femmes dans le hockey. </w:t>
            </w:r>
          </w:p>
          <w:p w14:paraId="575836C5" w14:textId="77777777" w:rsidR="00EA4B7C" w:rsidRPr="00561D07" w:rsidRDefault="00EA4B7C" w:rsidP="0056313D">
            <w:pPr>
              <w:rPr>
                <w:sz w:val="20"/>
                <w:szCs w:val="20"/>
              </w:rPr>
            </w:pPr>
            <w:r>
              <w:t xml:space="preserve">Par groupes, ils doivent analyser les documents, repérer les indices et placer les événements sur une frise chronologique détaillée. </w:t>
            </w:r>
          </w:p>
          <w:p w14:paraId="6E39F71C" w14:textId="77777777" w:rsidR="00EA4B7C" w:rsidRPr="00561D07" w:rsidRDefault="00EA4B7C" w:rsidP="0056313D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0C9DB51" w14:textId="77777777" w:rsidR="00EA4B7C" w:rsidRPr="008E2F67" w:rsidRDefault="00EA4B7C" w:rsidP="00563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images des différentes époques et des frises pour les élèves. </w:t>
            </w:r>
          </w:p>
        </w:tc>
      </w:tr>
      <w:tr w:rsidR="00EA4B7C" w:rsidRPr="008E2F67" w14:paraId="4ADE8FE4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72F61D99" w14:textId="77777777" w:rsidR="00EA4B7C" w:rsidRPr="008E2F67" w:rsidRDefault="00EA4B7C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66DA5D9B" w14:textId="77777777" w:rsidR="00EA4B7C" w:rsidRPr="008E2F67" w:rsidRDefault="00EA4B7C" w:rsidP="0056313D">
            <w:pPr>
              <w:jc w:val="center"/>
              <w:rPr>
                <w:sz w:val="20"/>
                <w:szCs w:val="20"/>
              </w:rPr>
            </w:pPr>
          </w:p>
          <w:p w14:paraId="6245FA38" w14:textId="77777777" w:rsidR="00EA4B7C" w:rsidRPr="008E2F67" w:rsidRDefault="00EA4B7C" w:rsidP="0056313D">
            <w:pPr>
              <w:jc w:val="center"/>
              <w:rPr>
                <w:sz w:val="20"/>
                <w:szCs w:val="20"/>
              </w:rPr>
            </w:pPr>
          </w:p>
          <w:p w14:paraId="319D1A4D" w14:textId="77777777" w:rsidR="00EA4B7C" w:rsidRPr="008E2F67" w:rsidRDefault="00EA4B7C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15 min</w:t>
            </w:r>
          </w:p>
        </w:tc>
        <w:tc>
          <w:tcPr>
            <w:tcW w:w="5443" w:type="dxa"/>
          </w:tcPr>
          <w:p w14:paraId="7306BB49" w14:textId="77777777" w:rsidR="00EA4B7C" w:rsidRPr="008E2F67" w:rsidRDefault="00EA4B7C" w:rsidP="0056313D">
            <w:pPr>
              <w:jc w:val="both"/>
              <w:rPr>
                <w:sz w:val="20"/>
                <w:szCs w:val="20"/>
              </w:rPr>
            </w:pPr>
            <w:r w:rsidRPr="00EA7CA2">
              <w:t xml:space="preserve">Lors de la mise en commun, chaque groupe </w:t>
            </w:r>
            <w:r>
              <w:t xml:space="preserve">présente sa frise à la classe. </w:t>
            </w:r>
            <w:r w:rsidRPr="00EA7CA2">
              <w:t>S’il y a des erreurs, les enfants discutent et se corrigent. L’enseignant discute avec les élèves en leur demandant : « </w:t>
            </w:r>
            <w:r>
              <w:t xml:space="preserve">quelle source est plus fiable et pourquoi ? », « quelle date est exacte ? ». L’enseignant insiste sur la notion de sources historiques et de fiabilité. </w:t>
            </w:r>
          </w:p>
        </w:tc>
        <w:tc>
          <w:tcPr>
            <w:tcW w:w="2036" w:type="dxa"/>
          </w:tcPr>
          <w:p w14:paraId="644BCC04" w14:textId="77777777" w:rsidR="00EA4B7C" w:rsidRPr="008E2F67" w:rsidRDefault="00EA4B7C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EA4B7C" w:rsidRPr="008E2F67" w14:paraId="2D677AF2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574300E2" w14:textId="77777777" w:rsidR="00EA4B7C" w:rsidRPr="008E2F67" w:rsidRDefault="00EA4B7C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4085BCE3" w14:textId="77777777" w:rsidR="00EA4B7C" w:rsidRPr="008E2F67" w:rsidRDefault="00EA4B7C" w:rsidP="0056313D">
            <w:pPr>
              <w:jc w:val="center"/>
              <w:rPr>
                <w:sz w:val="20"/>
                <w:szCs w:val="20"/>
              </w:rPr>
            </w:pPr>
          </w:p>
          <w:p w14:paraId="65AC21AF" w14:textId="77777777" w:rsidR="00EA4B7C" w:rsidRPr="008E2F67" w:rsidRDefault="00EA4B7C" w:rsidP="0056313D">
            <w:pPr>
              <w:jc w:val="center"/>
              <w:rPr>
                <w:sz w:val="20"/>
                <w:szCs w:val="20"/>
              </w:rPr>
            </w:pPr>
          </w:p>
          <w:p w14:paraId="179532E2" w14:textId="77777777" w:rsidR="00EA4B7C" w:rsidRPr="008E2F67" w:rsidRDefault="00EA4B7C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50 min</w:t>
            </w:r>
          </w:p>
        </w:tc>
        <w:tc>
          <w:tcPr>
            <w:tcW w:w="5443" w:type="dxa"/>
          </w:tcPr>
          <w:p w14:paraId="51CDC8B0" w14:textId="77777777" w:rsidR="00EA4B7C" w:rsidRPr="00EA7CA2" w:rsidRDefault="00EA4B7C" w:rsidP="0056313D">
            <w:pPr>
              <w:jc w:val="both"/>
            </w:pPr>
            <w:r>
              <w:t xml:space="preserve"> L’enseignant reconstruit avec les élèves une grande frise reprenant les dates précises et les périodes clés (antiquité, Moyen-âge, 1908, aujourd’hui). La frise sera affichée en classe en guise de synthèse. </w:t>
            </w:r>
          </w:p>
        </w:tc>
        <w:tc>
          <w:tcPr>
            <w:tcW w:w="2036" w:type="dxa"/>
          </w:tcPr>
          <w:p w14:paraId="5E98F7CE" w14:textId="77777777" w:rsidR="00EA4B7C" w:rsidRPr="008E2F67" w:rsidRDefault="00EA4B7C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5BB898FA" w14:textId="77777777" w:rsidR="00EA4B7C" w:rsidRDefault="00EA4B7C"/>
    <w:sectPr w:rsidR="00EA4B7C" w:rsidSect="00EE33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7C"/>
    <w:rsid w:val="003E253A"/>
    <w:rsid w:val="00AC71F1"/>
    <w:rsid w:val="00EA4B7C"/>
    <w:rsid w:val="00E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9B3C"/>
  <w15:chartTrackingRefBased/>
  <w15:docId w15:val="{22D584C6-B1DF-2F4C-ACF7-E2117FAB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7C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EA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EA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4B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4B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4B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4B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4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4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EA4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4B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4B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4B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4B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4B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4B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4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4B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4B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4B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4B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4B7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EA4B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EA4B7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EA4B7C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EA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A030F-8F6B-4A4D-86A5-8CA04AE179DC}"/>
</file>

<file path=customXml/itemProps2.xml><?xml version="1.0" encoding="utf-8"?>
<ds:datastoreItem xmlns:ds="http://schemas.openxmlformats.org/officeDocument/2006/customXml" ds:itemID="{101CA69F-E59C-4FBC-957D-7B20DFD856EF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3.xml><?xml version="1.0" encoding="utf-8"?>
<ds:datastoreItem xmlns:ds="http://schemas.openxmlformats.org/officeDocument/2006/customXml" ds:itemID="{EBF1B22E-EEB3-4B3C-A67B-B650A475A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2</cp:revision>
  <dcterms:created xsi:type="dcterms:W3CDTF">2025-10-23T09:48:00Z</dcterms:created>
  <dcterms:modified xsi:type="dcterms:W3CDTF">2026-02-26T10:25:00Z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