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F1FD" w14:textId="77777777" w:rsidR="00690B41" w:rsidRPr="008068E4" w:rsidRDefault="00690B41" w:rsidP="00690B41">
      <w:pPr>
        <w:pStyle w:val="Titre3"/>
        <w:shd w:val="clear" w:color="auto" w:fill="FF9900"/>
        <w:jc w:val="center"/>
        <w:rPr>
          <w:color w:val="FFFFFF"/>
          <w:sz w:val="40"/>
          <w:szCs w:val="40"/>
        </w:rPr>
      </w:pPr>
      <w:r>
        <w:rPr>
          <w:color w:val="FFFFFF"/>
          <w:sz w:val="40"/>
          <w:szCs w:val="40"/>
        </w:rPr>
        <w:t>Le corps du sportif (2)</w:t>
      </w:r>
    </w:p>
    <w:p w14:paraId="12653195" w14:textId="77777777" w:rsidR="00690B41" w:rsidRPr="008068E4" w:rsidRDefault="00690B41" w:rsidP="00690B41">
      <w:pPr>
        <w:pStyle w:val="Titre3"/>
        <w:shd w:val="clear" w:color="auto" w:fill="FF9900"/>
        <w:rPr>
          <w:b/>
          <w:smallCaps/>
          <w:color w:val="FFFFFF"/>
          <w:sz w:val="40"/>
          <w:szCs w:val="40"/>
        </w:rPr>
      </w:pPr>
      <w:r>
        <w:rPr>
          <w:b/>
          <w:smallCaps/>
          <w:color w:val="FFFFFF"/>
          <w:sz w:val="40"/>
          <w:szCs w:val="40"/>
        </w:rPr>
        <w:t>3</w:t>
      </w:r>
      <w:r w:rsidRPr="00883B5D">
        <w:rPr>
          <w:b/>
          <w:smallCaps/>
          <w:color w:val="FFFFFF"/>
          <w:sz w:val="40"/>
          <w:szCs w:val="40"/>
          <w:vertAlign w:val="superscript"/>
        </w:rPr>
        <w:t>e</w:t>
      </w:r>
      <w:r>
        <w:rPr>
          <w:b/>
          <w:smallCaps/>
          <w:color w:val="FFFFFF"/>
          <w:sz w:val="40"/>
          <w:szCs w:val="40"/>
        </w:rPr>
        <w:t xml:space="preserve"> primaire</w:t>
      </w:r>
    </w:p>
    <w:p w14:paraId="4F2BDD39" w14:textId="77777777" w:rsidR="00690B41" w:rsidRDefault="00690B41" w:rsidP="00690B4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690B41" w14:paraId="1B2A81F3" w14:textId="77777777" w:rsidTr="0056313D">
        <w:trPr>
          <w:trHeight w:val="686"/>
        </w:trPr>
        <w:tc>
          <w:tcPr>
            <w:tcW w:w="2004" w:type="dxa"/>
            <w:vAlign w:val="center"/>
          </w:tcPr>
          <w:p w14:paraId="60D2A11B" w14:textId="77777777" w:rsidR="00690B41" w:rsidRDefault="00690B41" w:rsidP="0056313D">
            <w:pPr>
              <w:pStyle w:val="Titre1"/>
              <w:rPr>
                <w:smallCaps/>
              </w:rPr>
            </w:pPr>
            <w:r>
              <w:rPr>
                <w:smallCaps/>
              </w:rPr>
              <w:t>Objectifs</w:t>
            </w:r>
          </w:p>
        </w:tc>
        <w:tc>
          <w:tcPr>
            <w:tcW w:w="7773" w:type="dxa"/>
            <w:vAlign w:val="center"/>
          </w:tcPr>
          <w:p w14:paraId="0B7B7B01" w14:textId="77777777" w:rsidR="00690B41" w:rsidRDefault="00690B41" w:rsidP="0056313D">
            <w:pPr>
              <w:pStyle w:val="En-tte"/>
              <w:tabs>
                <w:tab w:val="clear" w:pos="4536"/>
                <w:tab w:val="clear" w:pos="9072"/>
              </w:tabs>
            </w:pPr>
            <w:r>
              <w:t>À la fin de la leçon, l’élève sera rendu capable de d</w:t>
            </w:r>
            <w:r w:rsidRPr="00A0475B">
              <w:rPr>
                <w:lang w:val="fr-FR"/>
              </w:rPr>
              <w:t>écouvrir que les muscles et les articulations travaillent ensemble pour permettre au corps de bouger (courir, frapper, se pencher) pendant un match de hockey.</w:t>
            </w:r>
          </w:p>
        </w:tc>
      </w:tr>
      <w:tr w:rsidR="00690B41" w14:paraId="549C7CA7" w14:textId="77777777" w:rsidTr="0056313D">
        <w:trPr>
          <w:trHeight w:val="1068"/>
        </w:trPr>
        <w:tc>
          <w:tcPr>
            <w:tcW w:w="2004" w:type="dxa"/>
            <w:tcBorders>
              <w:bottom w:val="single" w:sz="4" w:space="0" w:color="auto"/>
            </w:tcBorders>
            <w:vAlign w:val="center"/>
          </w:tcPr>
          <w:p w14:paraId="48C7FDAD" w14:textId="77777777" w:rsidR="00690B41" w:rsidRDefault="00690B41" w:rsidP="0056313D">
            <w:pPr>
              <w:pStyle w:val="Titre1"/>
              <w:rPr>
                <w:smallCaps/>
              </w:rPr>
            </w:pPr>
            <w:r>
              <w:rPr>
                <w:smallCaps/>
              </w:rPr>
              <w:t>Compétences</w:t>
            </w:r>
          </w:p>
        </w:tc>
        <w:tc>
          <w:tcPr>
            <w:tcW w:w="7773" w:type="dxa"/>
            <w:tcBorders>
              <w:bottom w:val="single" w:sz="4" w:space="0" w:color="auto"/>
            </w:tcBorders>
            <w:vAlign w:val="center"/>
          </w:tcPr>
          <w:p w14:paraId="3B5BAABE" w14:textId="77777777" w:rsidR="00690B41" w:rsidRPr="00A309A3" w:rsidRDefault="00690B41" w:rsidP="0056313D">
            <w:pPr>
              <w:pStyle w:val="NormalWeb"/>
              <w:numPr>
                <w:ilvl w:val="0"/>
                <w:numId w:val="1"/>
              </w:numPr>
              <w:rPr>
                <w:color w:val="000000"/>
              </w:rPr>
            </w:pPr>
            <w:r>
              <w:rPr>
                <w:color w:val="000000"/>
              </w:rPr>
              <w:t xml:space="preserve"> Découvrir son corps et ses parties principales</w:t>
            </w:r>
          </w:p>
          <w:p w14:paraId="46B20D25" w14:textId="77777777" w:rsidR="00690B41" w:rsidRDefault="00690B41" w:rsidP="0056313D">
            <w:pPr>
              <w:pStyle w:val="NormalWeb"/>
              <w:numPr>
                <w:ilvl w:val="0"/>
                <w:numId w:val="1"/>
              </w:numPr>
              <w:rPr>
                <w:color w:val="000000"/>
              </w:rPr>
            </w:pPr>
            <w:r>
              <w:rPr>
                <w:color w:val="000000"/>
              </w:rPr>
              <w:t>Comprendre quels muscles on utilise dans un sport</w:t>
            </w:r>
          </w:p>
          <w:p w14:paraId="37AF2147" w14:textId="77777777" w:rsidR="00690B41" w:rsidRPr="00883B5D" w:rsidRDefault="00690B41" w:rsidP="0056313D">
            <w:pPr>
              <w:pStyle w:val="NormalWeb"/>
              <w:numPr>
                <w:ilvl w:val="0"/>
                <w:numId w:val="1"/>
              </w:numPr>
              <w:rPr>
                <w:color w:val="000000"/>
              </w:rPr>
            </w:pPr>
            <w:r>
              <w:rPr>
                <w:color w:val="000000"/>
              </w:rPr>
              <w:t xml:space="preserve">Observer, expérimenter avec son propre corps, coopérer. </w:t>
            </w:r>
          </w:p>
        </w:tc>
      </w:tr>
    </w:tbl>
    <w:p w14:paraId="12670709" w14:textId="77777777" w:rsidR="00690B41" w:rsidRDefault="00690B41" w:rsidP="00690B41"/>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690B41" w14:paraId="419CA63D"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15859B1F" w14:textId="77777777" w:rsidR="00690B41" w:rsidRDefault="00690B41" w:rsidP="0056313D">
            <w:pPr>
              <w:jc w:val="center"/>
            </w:pPr>
            <w:r>
              <w:rPr>
                <w:b/>
                <w:bCs/>
                <w:smallCaps/>
                <w:sz w:val="28"/>
              </w:rPr>
              <w:t>Déroulement de la séance</w:t>
            </w:r>
          </w:p>
        </w:tc>
      </w:tr>
      <w:tr w:rsidR="00690B41" w:rsidRPr="008E2F67" w14:paraId="7E0AD0D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31A251EB" w14:textId="77777777" w:rsidR="00690B41" w:rsidRPr="008E2F67" w:rsidRDefault="00690B41" w:rsidP="0056313D">
            <w:pPr>
              <w:jc w:val="center"/>
              <w:rPr>
                <w:b/>
                <w:sz w:val="20"/>
                <w:szCs w:val="20"/>
              </w:rPr>
            </w:pPr>
            <w:r w:rsidRPr="008E2F67">
              <w:rPr>
                <w:b/>
                <w:sz w:val="20"/>
                <w:szCs w:val="20"/>
              </w:rPr>
              <w:t>Phases</w:t>
            </w:r>
          </w:p>
        </w:tc>
        <w:tc>
          <w:tcPr>
            <w:tcW w:w="1418" w:type="dxa"/>
          </w:tcPr>
          <w:p w14:paraId="3B2D8375" w14:textId="77777777" w:rsidR="00690B41" w:rsidRPr="008E2F67" w:rsidRDefault="00690B41" w:rsidP="0056313D">
            <w:pPr>
              <w:jc w:val="center"/>
              <w:rPr>
                <w:b/>
                <w:sz w:val="20"/>
                <w:szCs w:val="20"/>
              </w:rPr>
            </w:pPr>
            <w:r w:rsidRPr="008E2F67">
              <w:rPr>
                <w:b/>
                <w:sz w:val="20"/>
                <w:szCs w:val="20"/>
              </w:rPr>
              <w:t>Organisation</w:t>
            </w:r>
          </w:p>
        </w:tc>
        <w:tc>
          <w:tcPr>
            <w:tcW w:w="5443" w:type="dxa"/>
          </w:tcPr>
          <w:p w14:paraId="5C18E63C" w14:textId="77777777" w:rsidR="00690B41" w:rsidRPr="008E2F67" w:rsidRDefault="00690B41" w:rsidP="0056313D">
            <w:pPr>
              <w:jc w:val="center"/>
              <w:rPr>
                <w:b/>
                <w:sz w:val="20"/>
                <w:szCs w:val="20"/>
              </w:rPr>
            </w:pPr>
            <w:r w:rsidRPr="008E2F67">
              <w:rPr>
                <w:b/>
                <w:sz w:val="20"/>
                <w:szCs w:val="20"/>
              </w:rPr>
              <w:t>Activités</w:t>
            </w:r>
          </w:p>
        </w:tc>
        <w:tc>
          <w:tcPr>
            <w:tcW w:w="2036" w:type="dxa"/>
          </w:tcPr>
          <w:p w14:paraId="4245779E" w14:textId="77777777" w:rsidR="00690B41" w:rsidRPr="008E2F67" w:rsidRDefault="00690B41" w:rsidP="0056313D">
            <w:pPr>
              <w:jc w:val="center"/>
              <w:rPr>
                <w:b/>
                <w:sz w:val="20"/>
                <w:szCs w:val="20"/>
              </w:rPr>
            </w:pPr>
            <w:r>
              <w:rPr>
                <w:b/>
                <w:sz w:val="20"/>
                <w:szCs w:val="20"/>
              </w:rPr>
              <w:t>Matériel</w:t>
            </w:r>
          </w:p>
        </w:tc>
      </w:tr>
      <w:tr w:rsidR="00690B41" w:rsidRPr="008E2F67" w14:paraId="44B70354"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7FFAF69C" w14:textId="77777777" w:rsidR="00690B41" w:rsidRPr="008E2F67" w:rsidRDefault="00690B41" w:rsidP="0056313D">
            <w:pPr>
              <w:ind w:left="113" w:right="113"/>
              <w:rPr>
                <w:b/>
                <w:sz w:val="20"/>
                <w:szCs w:val="20"/>
              </w:rPr>
            </w:pPr>
            <w:r>
              <w:rPr>
                <w:b/>
                <w:sz w:val="20"/>
                <w:szCs w:val="20"/>
              </w:rPr>
              <w:t xml:space="preserve">   Situation mobilisatrice</w:t>
            </w:r>
          </w:p>
        </w:tc>
        <w:tc>
          <w:tcPr>
            <w:tcW w:w="1418" w:type="dxa"/>
            <w:vAlign w:val="center"/>
          </w:tcPr>
          <w:p w14:paraId="59D3C085" w14:textId="77777777" w:rsidR="00690B41" w:rsidRPr="008E2F67" w:rsidRDefault="00690B41" w:rsidP="0056313D">
            <w:pPr>
              <w:rPr>
                <w:sz w:val="20"/>
                <w:szCs w:val="20"/>
              </w:rPr>
            </w:pPr>
            <w:r w:rsidRPr="008E2F67">
              <w:rPr>
                <w:sz w:val="20"/>
                <w:szCs w:val="20"/>
              </w:rPr>
              <w:t xml:space="preserve"> Minutes</w:t>
            </w:r>
            <w:r>
              <w:rPr>
                <w:sz w:val="20"/>
                <w:szCs w:val="20"/>
              </w:rPr>
              <w:t> : 50 min</w:t>
            </w:r>
          </w:p>
        </w:tc>
        <w:tc>
          <w:tcPr>
            <w:tcW w:w="5443" w:type="dxa"/>
          </w:tcPr>
          <w:p w14:paraId="7430C436" w14:textId="12D6CA3E" w:rsidR="00690B41" w:rsidRPr="00690B41" w:rsidRDefault="00690B41" w:rsidP="0056313D">
            <w:pPr>
              <w:rPr>
                <w:sz w:val="20"/>
                <w:szCs w:val="20"/>
              </w:rPr>
            </w:pPr>
            <w:r w:rsidRPr="00883B5D">
              <w:t xml:space="preserve"> </w:t>
            </w:r>
            <w:r w:rsidRPr="00561D07">
              <w:t>L’enseignant explique aux élèves la situation : « </w:t>
            </w:r>
            <w:r>
              <w:rPr>
                <w:lang w:val="fr-FR"/>
              </w:rPr>
              <w:t>Les Red Lions et les Red Panthers veulent être prêts pour la Coupe du Monde. Mais ils ont oublié quels muscles sont les plus utilisés en jouant au hockey. On nous a engagés comme coachs sportifs pour les aider à identifier les parties du corps qui travaillent le plus. »</w:t>
            </w:r>
          </w:p>
          <w:p w14:paraId="0DE44454" w14:textId="77777777" w:rsidR="00690B41" w:rsidRDefault="00690B41" w:rsidP="0056313D">
            <w:pPr>
              <w:rPr>
                <w:lang w:val="fr-FR"/>
              </w:rPr>
            </w:pPr>
          </w:p>
          <w:p w14:paraId="091E15F9" w14:textId="77777777" w:rsidR="00690B41" w:rsidRDefault="00690B41" w:rsidP="0056313D">
            <w:r>
              <w:t xml:space="preserve">L’enseignant propose quelques petits exercices : </w:t>
            </w:r>
          </w:p>
          <w:p w14:paraId="623DA18F" w14:textId="77777777" w:rsidR="00690B41" w:rsidRDefault="00690B41" w:rsidP="0056313D">
            <w:pPr>
              <w:numPr>
                <w:ilvl w:val="0"/>
                <w:numId w:val="1"/>
              </w:numPr>
            </w:pPr>
            <w:r>
              <w:t xml:space="preserve">Courir sur place </w:t>
            </w:r>
            <w:r>
              <w:sym w:font="Wingdings" w:char="F0E0"/>
            </w:r>
            <w:r>
              <w:t xml:space="preserve"> on sent les jambes</w:t>
            </w:r>
          </w:p>
          <w:p w14:paraId="716BDC50" w14:textId="77777777" w:rsidR="00690B41" w:rsidRDefault="00690B41" w:rsidP="0056313D">
            <w:pPr>
              <w:numPr>
                <w:ilvl w:val="0"/>
                <w:numId w:val="1"/>
              </w:numPr>
            </w:pPr>
            <w:r>
              <w:t xml:space="preserve">Tenir le stick et faire semblant de frapper </w:t>
            </w:r>
            <w:r>
              <w:sym w:font="Wingdings" w:char="F0E0"/>
            </w:r>
            <w:r>
              <w:t xml:space="preserve"> on sent les bras</w:t>
            </w:r>
          </w:p>
          <w:p w14:paraId="51EFE272" w14:textId="77777777" w:rsidR="00690B41" w:rsidRDefault="00690B41" w:rsidP="0056313D">
            <w:pPr>
              <w:numPr>
                <w:ilvl w:val="0"/>
                <w:numId w:val="1"/>
              </w:numPr>
            </w:pPr>
            <w:r>
              <w:t xml:space="preserve">Se pencher pour dribbler </w:t>
            </w:r>
            <w:r>
              <w:sym w:font="Wingdings" w:char="F0E0"/>
            </w:r>
            <w:r>
              <w:t xml:space="preserve"> on sent le ventre/ dos. </w:t>
            </w:r>
          </w:p>
          <w:p w14:paraId="7ACF1324" w14:textId="77777777" w:rsidR="00690B41" w:rsidRDefault="00690B41" w:rsidP="0056313D">
            <w:r>
              <w:t xml:space="preserve">Les élèves doivent toucher les parties du corps qu’ils sentent travailler. </w:t>
            </w:r>
          </w:p>
          <w:p w14:paraId="751E4336" w14:textId="77777777" w:rsidR="00690B41" w:rsidRDefault="00690B41" w:rsidP="0056313D"/>
          <w:p w14:paraId="2505677A" w14:textId="77777777" w:rsidR="00690B41" w:rsidRDefault="00690B41" w:rsidP="0056313D">
            <w:r>
              <w:t xml:space="preserve">Ensuite, l’enseignant donne des rouleaux aux élèves. Ils doivent les mettre à leur bras et à leur jambe. </w:t>
            </w:r>
          </w:p>
          <w:p w14:paraId="5B5F8CB5" w14:textId="77777777" w:rsidR="00690B41" w:rsidRDefault="00690B41" w:rsidP="0056313D">
            <w:r>
              <w:t xml:space="preserve">L’enseignant leur demande de refaire les mouvements du hockey. </w:t>
            </w:r>
          </w:p>
          <w:p w14:paraId="7BA5F057" w14:textId="77777777" w:rsidR="00690B41" w:rsidRDefault="00690B41" w:rsidP="0056313D">
            <w:r>
              <w:t xml:space="preserve">Les élèves ne savent pas le faire </w:t>
            </w:r>
            <w:r>
              <w:sym w:font="Wingdings" w:char="F0E0"/>
            </w:r>
            <w:r>
              <w:t xml:space="preserve"> leur expliquer qu’il s’agit des articulations du corps. </w:t>
            </w:r>
          </w:p>
          <w:p w14:paraId="28022BB9" w14:textId="77777777" w:rsidR="00690B41" w:rsidRDefault="00690B41" w:rsidP="0056313D"/>
          <w:p w14:paraId="76542442" w14:textId="77777777" w:rsidR="00690B41" w:rsidRDefault="00690B41" w:rsidP="0056313D">
            <w:r>
              <w:t xml:space="preserve">L’enseignant montre un schéma simplifié du corps : muscles principaux (jambes, bras, ventre) + articulations (genoux, coudes, épaules). </w:t>
            </w:r>
          </w:p>
          <w:p w14:paraId="14FFDFD5" w14:textId="77777777" w:rsidR="00690B41" w:rsidRDefault="00690B41" w:rsidP="0056313D">
            <w:r>
              <w:t xml:space="preserve">L’enseignant demande aux élèves (individuellement) de placer des cartes « muscles » et « articulations » sur la silhouette. </w:t>
            </w:r>
          </w:p>
          <w:p w14:paraId="373A986A" w14:textId="77777777" w:rsidR="00690B41" w:rsidRPr="00561D07" w:rsidRDefault="00690B41" w:rsidP="0056313D">
            <w:pPr>
              <w:rPr>
                <w:sz w:val="20"/>
                <w:szCs w:val="20"/>
              </w:rPr>
            </w:pPr>
            <w:r>
              <w:t xml:space="preserve">Ensuite, les élèves confrontent leurs idées avec leur voisin afin de se mettre d’accord sur une réponse finale. </w:t>
            </w:r>
          </w:p>
          <w:p w14:paraId="5DF5F086" w14:textId="77777777" w:rsidR="00690B41" w:rsidRPr="00561D07" w:rsidRDefault="00690B41" w:rsidP="0056313D">
            <w:pPr>
              <w:rPr>
                <w:sz w:val="20"/>
                <w:szCs w:val="20"/>
              </w:rPr>
            </w:pPr>
          </w:p>
        </w:tc>
        <w:tc>
          <w:tcPr>
            <w:tcW w:w="2036" w:type="dxa"/>
          </w:tcPr>
          <w:p w14:paraId="3F19329A" w14:textId="77777777" w:rsidR="00690B41" w:rsidRPr="008E2F67" w:rsidRDefault="00690B41" w:rsidP="0056313D">
            <w:pPr>
              <w:jc w:val="both"/>
              <w:rPr>
                <w:sz w:val="20"/>
                <w:szCs w:val="20"/>
              </w:rPr>
            </w:pPr>
            <w:r>
              <w:rPr>
                <w:sz w:val="20"/>
                <w:szCs w:val="20"/>
              </w:rPr>
              <w:t>Rouleaux</w:t>
            </w:r>
          </w:p>
        </w:tc>
      </w:tr>
      <w:tr w:rsidR="00690B41" w:rsidRPr="008E2F67" w14:paraId="398A1D10"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3C078EFF" w14:textId="77777777" w:rsidR="00690B41" w:rsidRPr="008E2F67" w:rsidRDefault="00690B41" w:rsidP="0056313D">
            <w:pPr>
              <w:rPr>
                <w:b/>
                <w:sz w:val="20"/>
                <w:szCs w:val="20"/>
              </w:rPr>
            </w:pPr>
            <w:r>
              <w:rPr>
                <w:b/>
                <w:sz w:val="20"/>
                <w:szCs w:val="20"/>
              </w:rPr>
              <w:lastRenderedPageBreak/>
              <w:t xml:space="preserve">   Mise en commun</w:t>
            </w:r>
          </w:p>
        </w:tc>
        <w:tc>
          <w:tcPr>
            <w:tcW w:w="1418" w:type="dxa"/>
            <w:vAlign w:val="center"/>
          </w:tcPr>
          <w:p w14:paraId="0905B28B" w14:textId="77777777" w:rsidR="00690B41" w:rsidRPr="008E2F67" w:rsidRDefault="00690B41" w:rsidP="0056313D">
            <w:pPr>
              <w:jc w:val="center"/>
              <w:rPr>
                <w:sz w:val="20"/>
                <w:szCs w:val="20"/>
              </w:rPr>
            </w:pPr>
          </w:p>
          <w:p w14:paraId="3A9F332C" w14:textId="77777777" w:rsidR="00690B41" w:rsidRPr="008E2F67" w:rsidRDefault="00690B41" w:rsidP="0056313D">
            <w:pPr>
              <w:jc w:val="center"/>
              <w:rPr>
                <w:sz w:val="20"/>
                <w:szCs w:val="20"/>
              </w:rPr>
            </w:pPr>
          </w:p>
          <w:p w14:paraId="087AED10" w14:textId="77777777" w:rsidR="00690B41" w:rsidRPr="008E2F67" w:rsidRDefault="00690B41" w:rsidP="0056313D">
            <w:pPr>
              <w:jc w:val="center"/>
              <w:rPr>
                <w:sz w:val="20"/>
                <w:szCs w:val="20"/>
              </w:rPr>
            </w:pPr>
            <w:r w:rsidRPr="008E2F67">
              <w:rPr>
                <w:sz w:val="20"/>
                <w:szCs w:val="20"/>
              </w:rPr>
              <w:t xml:space="preserve"> Minutes</w:t>
            </w:r>
            <w:r>
              <w:rPr>
                <w:sz w:val="20"/>
                <w:szCs w:val="20"/>
              </w:rPr>
              <w:t> : 20 min</w:t>
            </w:r>
          </w:p>
        </w:tc>
        <w:tc>
          <w:tcPr>
            <w:tcW w:w="5443" w:type="dxa"/>
          </w:tcPr>
          <w:p w14:paraId="6EE53CA0" w14:textId="77777777" w:rsidR="00690B41" w:rsidRDefault="00690B41" w:rsidP="0056313D">
            <w:pPr>
              <w:jc w:val="both"/>
            </w:pPr>
            <w:r w:rsidRPr="00840B42">
              <w:t>Chaque groupe présente son</w:t>
            </w:r>
            <w:r>
              <w:t xml:space="preserve"> schéma. </w:t>
            </w:r>
            <w:r w:rsidRPr="00840B42">
              <w:t xml:space="preserve"> </w:t>
            </w:r>
          </w:p>
          <w:p w14:paraId="6B53C0B5" w14:textId="77777777" w:rsidR="00690B41" w:rsidRDefault="00690B41" w:rsidP="0056313D">
            <w:pPr>
              <w:jc w:val="both"/>
            </w:pPr>
            <w:r>
              <w:t xml:space="preserve">Les élèves se corrigent entre eux et avec l’aide de l’enseignant. </w:t>
            </w:r>
          </w:p>
          <w:p w14:paraId="0714BFE4" w14:textId="77777777" w:rsidR="00690B41" w:rsidRDefault="00690B41" w:rsidP="0056313D">
            <w:pPr>
              <w:jc w:val="both"/>
            </w:pPr>
          </w:p>
          <w:p w14:paraId="4212431A" w14:textId="77777777" w:rsidR="00690B41" w:rsidRDefault="00690B41" w:rsidP="0056313D">
            <w:pPr>
              <w:jc w:val="both"/>
            </w:pPr>
            <w:r>
              <w:t xml:space="preserve">L’enseignant et les élèves nomment les différentes articulations (genoux, coudes, épaules). </w:t>
            </w:r>
          </w:p>
          <w:p w14:paraId="51A51BE7" w14:textId="77777777" w:rsidR="00690B41" w:rsidRDefault="00690B41" w:rsidP="0056313D">
            <w:pPr>
              <w:jc w:val="both"/>
            </w:pPr>
            <w:r>
              <w:t>Il leur demande : « À quoi sert un muscle ? À quoi sert une articulation ? »</w:t>
            </w:r>
          </w:p>
          <w:p w14:paraId="462C567E" w14:textId="77777777" w:rsidR="00690B41" w:rsidRDefault="00690B41" w:rsidP="0056313D">
            <w:pPr>
              <w:jc w:val="both"/>
            </w:pPr>
            <w:r>
              <w:t>Les réponses attendues :</w:t>
            </w:r>
          </w:p>
          <w:p w14:paraId="2DFEF6FE" w14:textId="77777777" w:rsidR="00690B41" w:rsidRDefault="00690B41" w:rsidP="0056313D">
            <w:pPr>
              <w:numPr>
                <w:ilvl w:val="0"/>
                <w:numId w:val="1"/>
              </w:numPr>
              <w:jc w:val="both"/>
            </w:pPr>
            <w:r>
              <w:t>Les muscles font bouger</w:t>
            </w:r>
          </w:p>
          <w:p w14:paraId="2956323C" w14:textId="77777777" w:rsidR="00690B41" w:rsidRDefault="00690B41" w:rsidP="0056313D">
            <w:pPr>
              <w:numPr>
                <w:ilvl w:val="0"/>
                <w:numId w:val="1"/>
              </w:numPr>
              <w:jc w:val="both"/>
            </w:pPr>
            <w:r>
              <w:t>Les articulations permettent de plier/ faire tourner</w:t>
            </w:r>
          </w:p>
          <w:p w14:paraId="6AD1F7F8" w14:textId="77777777" w:rsidR="00690B41" w:rsidRDefault="00690B41" w:rsidP="0056313D">
            <w:pPr>
              <w:numPr>
                <w:ilvl w:val="0"/>
                <w:numId w:val="1"/>
              </w:numPr>
              <w:jc w:val="both"/>
            </w:pPr>
            <w:r>
              <w:t xml:space="preserve">Ensemble, ils permettent de jouer au hockey. </w:t>
            </w:r>
          </w:p>
          <w:p w14:paraId="1422CC93" w14:textId="77777777" w:rsidR="00690B41" w:rsidRDefault="00690B41" w:rsidP="0056313D">
            <w:pPr>
              <w:jc w:val="both"/>
            </w:pPr>
          </w:p>
          <w:p w14:paraId="160ED109" w14:textId="77777777" w:rsidR="00690B41" w:rsidRPr="008E2F67" w:rsidRDefault="00690B41" w:rsidP="0056313D">
            <w:pPr>
              <w:jc w:val="both"/>
              <w:rPr>
                <w:sz w:val="20"/>
                <w:szCs w:val="20"/>
              </w:rPr>
            </w:pPr>
          </w:p>
        </w:tc>
        <w:tc>
          <w:tcPr>
            <w:tcW w:w="2036" w:type="dxa"/>
          </w:tcPr>
          <w:p w14:paraId="5176117F" w14:textId="77777777" w:rsidR="00690B41" w:rsidRPr="008E2F67" w:rsidRDefault="00690B41" w:rsidP="0056313D">
            <w:pPr>
              <w:jc w:val="both"/>
              <w:rPr>
                <w:sz w:val="20"/>
                <w:szCs w:val="20"/>
              </w:rPr>
            </w:pPr>
          </w:p>
        </w:tc>
      </w:tr>
      <w:tr w:rsidR="00690B41" w:rsidRPr="008E2F67" w14:paraId="449D6981"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0289C62F" w14:textId="77777777" w:rsidR="00690B41" w:rsidRPr="008E2F67" w:rsidRDefault="00690B41" w:rsidP="0056313D">
            <w:pPr>
              <w:jc w:val="center"/>
              <w:rPr>
                <w:b/>
                <w:sz w:val="20"/>
                <w:szCs w:val="20"/>
              </w:rPr>
            </w:pPr>
            <w:r>
              <w:rPr>
                <w:b/>
                <w:sz w:val="20"/>
                <w:szCs w:val="20"/>
              </w:rPr>
              <w:t xml:space="preserve">Structuration </w:t>
            </w:r>
          </w:p>
        </w:tc>
        <w:tc>
          <w:tcPr>
            <w:tcW w:w="1418" w:type="dxa"/>
            <w:vAlign w:val="center"/>
          </w:tcPr>
          <w:p w14:paraId="7A84A49B" w14:textId="77777777" w:rsidR="00690B41" w:rsidRPr="008E2F67" w:rsidRDefault="00690B41" w:rsidP="0056313D">
            <w:pPr>
              <w:jc w:val="center"/>
              <w:rPr>
                <w:sz w:val="20"/>
                <w:szCs w:val="20"/>
              </w:rPr>
            </w:pPr>
          </w:p>
          <w:p w14:paraId="4DABBC9B" w14:textId="77777777" w:rsidR="00690B41" w:rsidRPr="008E2F67" w:rsidRDefault="00690B41" w:rsidP="0056313D">
            <w:pPr>
              <w:jc w:val="center"/>
              <w:rPr>
                <w:sz w:val="20"/>
                <w:szCs w:val="20"/>
              </w:rPr>
            </w:pPr>
          </w:p>
          <w:p w14:paraId="506F5F19" w14:textId="77777777" w:rsidR="00690B41" w:rsidRPr="008E2F67" w:rsidRDefault="00690B41" w:rsidP="0056313D">
            <w:pPr>
              <w:jc w:val="center"/>
              <w:rPr>
                <w:sz w:val="20"/>
                <w:szCs w:val="20"/>
              </w:rPr>
            </w:pPr>
            <w:r w:rsidRPr="008E2F67">
              <w:rPr>
                <w:sz w:val="20"/>
                <w:szCs w:val="20"/>
              </w:rPr>
              <w:t>Minutes</w:t>
            </w:r>
            <w:r>
              <w:rPr>
                <w:sz w:val="20"/>
                <w:szCs w:val="20"/>
              </w:rPr>
              <w:t> : 30 min</w:t>
            </w:r>
          </w:p>
        </w:tc>
        <w:tc>
          <w:tcPr>
            <w:tcW w:w="5443" w:type="dxa"/>
          </w:tcPr>
          <w:p w14:paraId="5BA02549" w14:textId="77777777" w:rsidR="00690B41" w:rsidRPr="00EA7CA2" w:rsidRDefault="00690B41" w:rsidP="0056313D">
            <w:pPr>
              <w:jc w:val="both"/>
            </w:pPr>
            <w:r>
              <w:t xml:space="preserve"> L’enseignant construit avec les élèves la structuration sur un panneau. Sur le panneau, la silhouette est dessinée avec les muscles et les articulations. Les articulations sont nommées. Le rôle de chacun est également indiqué. </w:t>
            </w:r>
          </w:p>
        </w:tc>
        <w:tc>
          <w:tcPr>
            <w:tcW w:w="2036" w:type="dxa"/>
          </w:tcPr>
          <w:p w14:paraId="29C34E3E" w14:textId="77777777" w:rsidR="00690B41" w:rsidRPr="008E2F67" w:rsidRDefault="00690B41" w:rsidP="0056313D">
            <w:pPr>
              <w:jc w:val="both"/>
              <w:rPr>
                <w:sz w:val="20"/>
                <w:szCs w:val="20"/>
              </w:rPr>
            </w:pPr>
          </w:p>
        </w:tc>
      </w:tr>
    </w:tbl>
    <w:p w14:paraId="55CF501B" w14:textId="182DB2B7" w:rsidR="00690B41" w:rsidRPr="00D06833" w:rsidRDefault="00690B41" w:rsidP="00690B41">
      <w:r>
        <w:rPr>
          <w:color w:val="FFFFFF"/>
          <w:sz w:val="40"/>
          <w:szCs w:val="40"/>
        </w:rPr>
        <w:t>Le</w:t>
      </w:r>
    </w:p>
    <w:p w14:paraId="0D40ED1C" w14:textId="77777777" w:rsidR="00690B41" w:rsidRPr="00D06833" w:rsidRDefault="00690B41" w:rsidP="00690B41"/>
    <w:p w14:paraId="0ED501B9" w14:textId="77777777" w:rsidR="00690B41" w:rsidRPr="00D06833" w:rsidRDefault="00690B41" w:rsidP="00690B41"/>
    <w:p w14:paraId="1CAFD2AD" w14:textId="77777777" w:rsidR="00690B41" w:rsidRPr="00D06833" w:rsidRDefault="00690B41" w:rsidP="00690B41"/>
    <w:p w14:paraId="203200BB" w14:textId="77777777" w:rsidR="00690B41" w:rsidRPr="00D06833" w:rsidRDefault="00690B41" w:rsidP="00690B41"/>
    <w:p w14:paraId="3952BD28" w14:textId="77777777" w:rsidR="00690B41" w:rsidRPr="00D06833" w:rsidRDefault="00690B41" w:rsidP="00690B41"/>
    <w:p w14:paraId="362F7C5A" w14:textId="77777777" w:rsidR="00690B41" w:rsidRPr="00D06833" w:rsidRDefault="00690B41" w:rsidP="00690B41"/>
    <w:p w14:paraId="56C253D9" w14:textId="77777777" w:rsidR="00690B41" w:rsidRPr="00D06833" w:rsidRDefault="00690B41" w:rsidP="00690B41"/>
    <w:p w14:paraId="78178CC9" w14:textId="77777777" w:rsidR="00690B41" w:rsidRPr="00D06833" w:rsidRDefault="00690B41" w:rsidP="00690B41"/>
    <w:p w14:paraId="3A80FCDF" w14:textId="77777777" w:rsidR="00690B41" w:rsidRPr="00D06833" w:rsidRDefault="00690B41" w:rsidP="00690B41"/>
    <w:p w14:paraId="0171C89D" w14:textId="77777777" w:rsidR="00690B41" w:rsidRPr="00D06833" w:rsidRDefault="00690B41" w:rsidP="00690B41"/>
    <w:p w14:paraId="0529DB19" w14:textId="77777777" w:rsidR="00690B41" w:rsidRPr="00D06833" w:rsidRDefault="00690B41" w:rsidP="00690B41"/>
    <w:p w14:paraId="31C6FA11" w14:textId="77777777" w:rsidR="00690B41" w:rsidRPr="00D06833" w:rsidRDefault="00690B41" w:rsidP="00690B41"/>
    <w:p w14:paraId="3974350E" w14:textId="77777777" w:rsidR="00690B41" w:rsidRPr="00D06833" w:rsidRDefault="00690B41" w:rsidP="00690B41"/>
    <w:p w14:paraId="3A24383C" w14:textId="77777777" w:rsidR="00690B41" w:rsidRPr="00D06833" w:rsidRDefault="00690B41" w:rsidP="00690B41"/>
    <w:p w14:paraId="1A8E2560" w14:textId="77777777" w:rsidR="00690B41" w:rsidRPr="00D06833" w:rsidRDefault="00690B41" w:rsidP="00690B41"/>
    <w:p w14:paraId="5A3C839A" w14:textId="77777777" w:rsidR="00690B41" w:rsidRDefault="00690B41" w:rsidP="00690B41"/>
    <w:p w14:paraId="05608639" w14:textId="77777777" w:rsidR="00690B41" w:rsidRDefault="00690B41" w:rsidP="00690B41"/>
    <w:sectPr w:rsidR="00690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41"/>
    <w:rsid w:val="0033726C"/>
    <w:rsid w:val="00690B41"/>
    <w:rsid w:val="009E468A"/>
    <w:rsid w:val="00AC71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A501"/>
  <w15:chartTrackingRefBased/>
  <w15:docId w15:val="{A028A32C-EF4B-E641-917E-C336DCB5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41"/>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690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0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690B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0B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0B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0B4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0B4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0B4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0B4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0B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0B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690B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0B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0B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0B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0B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0B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0B41"/>
    <w:rPr>
      <w:rFonts w:eastAsiaTheme="majorEastAsia" w:cstheme="majorBidi"/>
      <w:color w:val="272727" w:themeColor="text1" w:themeTint="D8"/>
    </w:rPr>
  </w:style>
  <w:style w:type="paragraph" w:styleId="Titre">
    <w:name w:val="Title"/>
    <w:basedOn w:val="Normal"/>
    <w:next w:val="Normal"/>
    <w:link w:val="TitreCar"/>
    <w:uiPriority w:val="10"/>
    <w:qFormat/>
    <w:rsid w:val="00690B4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0B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0B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0B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0B41"/>
    <w:pPr>
      <w:spacing w:before="160"/>
      <w:jc w:val="center"/>
    </w:pPr>
    <w:rPr>
      <w:i/>
      <w:iCs/>
      <w:color w:val="404040" w:themeColor="text1" w:themeTint="BF"/>
    </w:rPr>
  </w:style>
  <w:style w:type="character" w:customStyle="1" w:styleId="CitationCar">
    <w:name w:val="Citation Car"/>
    <w:basedOn w:val="Policepardfaut"/>
    <w:link w:val="Citation"/>
    <w:uiPriority w:val="29"/>
    <w:rsid w:val="00690B41"/>
    <w:rPr>
      <w:i/>
      <w:iCs/>
      <w:color w:val="404040" w:themeColor="text1" w:themeTint="BF"/>
    </w:rPr>
  </w:style>
  <w:style w:type="paragraph" w:styleId="Paragraphedeliste">
    <w:name w:val="List Paragraph"/>
    <w:basedOn w:val="Normal"/>
    <w:uiPriority w:val="34"/>
    <w:qFormat/>
    <w:rsid w:val="00690B41"/>
    <w:pPr>
      <w:ind w:left="720"/>
      <w:contextualSpacing/>
    </w:pPr>
  </w:style>
  <w:style w:type="character" w:styleId="Accentuationintense">
    <w:name w:val="Intense Emphasis"/>
    <w:basedOn w:val="Policepardfaut"/>
    <w:uiPriority w:val="21"/>
    <w:qFormat/>
    <w:rsid w:val="00690B41"/>
    <w:rPr>
      <w:i/>
      <w:iCs/>
      <w:color w:val="0F4761" w:themeColor="accent1" w:themeShade="BF"/>
    </w:rPr>
  </w:style>
  <w:style w:type="paragraph" w:styleId="Citationintense">
    <w:name w:val="Intense Quote"/>
    <w:basedOn w:val="Normal"/>
    <w:next w:val="Normal"/>
    <w:link w:val="CitationintenseCar"/>
    <w:uiPriority w:val="30"/>
    <w:qFormat/>
    <w:rsid w:val="00690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0B41"/>
    <w:rPr>
      <w:i/>
      <w:iCs/>
      <w:color w:val="0F4761" w:themeColor="accent1" w:themeShade="BF"/>
    </w:rPr>
  </w:style>
  <w:style w:type="character" w:styleId="Rfrenceintense">
    <w:name w:val="Intense Reference"/>
    <w:basedOn w:val="Policepardfaut"/>
    <w:uiPriority w:val="32"/>
    <w:qFormat/>
    <w:rsid w:val="00690B41"/>
    <w:rPr>
      <w:b/>
      <w:bCs/>
      <w:smallCaps/>
      <w:color w:val="0F4761" w:themeColor="accent1" w:themeShade="BF"/>
      <w:spacing w:val="5"/>
    </w:rPr>
  </w:style>
  <w:style w:type="paragraph" w:styleId="En-tte">
    <w:name w:val="header"/>
    <w:basedOn w:val="Normal"/>
    <w:link w:val="En-tteCar"/>
    <w:semiHidden/>
    <w:rsid w:val="00690B41"/>
    <w:pPr>
      <w:tabs>
        <w:tab w:val="center" w:pos="4536"/>
        <w:tab w:val="right" w:pos="9072"/>
      </w:tabs>
    </w:pPr>
  </w:style>
  <w:style w:type="character" w:customStyle="1" w:styleId="En-tteCar">
    <w:name w:val="En-tête Car"/>
    <w:basedOn w:val="Policepardfaut"/>
    <w:link w:val="En-tte"/>
    <w:semiHidden/>
    <w:rsid w:val="00690B41"/>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690B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7D4F2-4687-41F6-B698-53D244ED78BE}">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79F3144F-D43E-41F7-AA63-E51CD1D231AF}">
  <ds:schemaRefs>
    <ds:schemaRef ds:uri="http://schemas.microsoft.com/sharepoint/v3/contenttype/forms"/>
  </ds:schemaRefs>
</ds:datastoreItem>
</file>

<file path=customXml/itemProps3.xml><?xml version="1.0" encoding="utf-8"?>
<ds:datastoreItem xmlns:ds="http://schemas.openxmlformats.org/officeDocument/2006/customXml" ds:itemID="{12398023-E055-4B25-BEEC-5F2697C38BEB}"/>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2</cp:revision>
  <dcterms:created xsi:type="dcterms:W3CDTF">2025-10-23T10:07:00Z</dcterms:created>
  <dcterms:modified xsi:type="dcterms:W3CDTF">2026-02-26T10:16:00Z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