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F3AD" w14:textId="77777777" w:rsidR="00CA6388" w:rsidRPr="008068E4" w:rsidRDefault="00CA6388" w:rsidP="00CA6388">
      <w:pPr>
        <w:pStyle w:val="Titre3"/>
        <w:shd w:val="clear" w:color="auto" w:fill="FF9900"/>
        <w:jc w:val="center"/>
        <w:rPr>
          <w:color w:val="FFFFFF"/>
          <w:sz w:val="40"/>
          <w:szCs w:val="40"/>
        </w:rPr>
      </w:pPr>
      <w:r>
        <w:rPr>
          <w:color w:val="FFFFFF"/>
          <w:sz w:val="40"/>
          <w:szCs w:val="40"/>
        </w:rPr>
        <w:t>Le corps du sportif (1)</w:t>
      </w:r>
    </w:p>
    <w:p w14:paraId="7485F0C3" w14:textId="77777777" w:rsidR="00CA6388" w:rsidRPr="00D37BF7" w:rsidRDefault="00CA6388" w:rsidP="00CA6388">
      <w:pPr>
        <w:pStyle w:val="Titre3"/>
        <w:shd w:val="clear" w:color="auto" w:fill="FF9900"/>
        <w:rPr>
          <w:b/>
          <w:smallCaps/>
          <w:color w:val="FFFFFF"/>
          <w:sz w:val="40"/>
          <w:szCs w:val="40"/>
        </w:rPr>
      </w:pPr>
      <w:r>
        <w:rPr>
          <w:b/>
          <w:smallCaps/>
          <w:color w:val="FFFFFF"/>
          <w:sz w:val="40"/>
          <w:szCs w:val="40"/>
        </w:rPr>
        <w:t>3</w:t>
      </w:r>
      <w:r w:rsidRPr="00883B5D">
        <w:rPr>
          <w:b/>
          <w:smallCaps/>
          <w:color w:val="FFFFFF"/>
          <w:sz w:val="40"/>
          <w:szCs w:val="40"/>
          <w:vertAlign w:val="superscript"/>
        </w:rPr>
        <w:t>e</w:t>
      </w:r>
      <w:r>
        <w:rPr>
          <w:b/>
          <w:smallCaps/>
          <w:color w:val="FFFFFF"/>
          <w:sz w:val="40"/>
          <w:szCs w:val="40"/>
        </w:rPr>
        <w:t xml:space="preserve"> primaire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CA6388" w14:paraId="667C11C5" w14:textId="77777777" w:rsidTr="0056313D">
        <w:trPr>
          <w:trHeight w:val="686"/>
        </w:trPr>
        <w:tc>
          <w:tcPr>
            <w:tcW w:w="2004" w:type="dxa"/>
            <w:vAlign w:val="center"/>
          </w:tcPr>
          <w:p w14:paraId="51725C87" w14:textId="77777777" w:rsidR="00CA6388" w:rsidRDefault="00CA6388" w:rsidP="0056313D">
            <w:pPr>
              <w:pStyle w:val="Titre1"/>
              <w:rPr>
                <w:smallCaps/>
              </w:rPr>
            </w:pPr>
            <w:r>
              <w:rPr>
                <w:smallCaps/>
              </w:rPr>
              <w:t>Objectifs</w:t>
            </w:r>
          </w:p>
        </w:tc>
        <w:tc>
          <w:tcPr>
            <w:tcW w:w="7773" w:type="dxa"/>
            <w:vAlign w:val="center"/>
          </w:tcPr>
          <w:p w14:paraId="2B549244" w14:textId="77777777" w:rsidR="00CA6388" w:rsidRDefault="00CA6388" w:rsidP="0056313D">
            <w:pPr>
              <w:pStyle w:val="En-tte"/>
              <w:tabs>
                <w:tab w:val="clear" w:pos="4536"/>
                <w:tab w:val="clear" w:pos="9072"/>
              </w:tabs>
            </w:pPr>
            <w:r>
              <w:t>À la fin de la leçon, l’élève sera rendu capable de comprendre que l’alimentation influence l’énergie et la santé d’un sportif, et de savoir distinguer des aliments « qui donnent de l’énergie » et des aliments « qui sont moins adaptés avant un effort »</w:t>
            </w:r>
          </w:p>
        </w:tc>
      </w:tr>
      <w:tr w:rsidR="00CA6388" w14:paraId="28037928" w14:textId="77777777" w:rsidTr="0056313D">
        <w:trPr>
          <w:trHeight w:val="1068"/>
        </w:trPr>
        <w:tc>
          <w:tcPr>
            <w:tcW w:w="2004" w:type="dxa"/>
            <w:tcBorders>
              <w:bottom w:val="single" w:sz="4" w:space="0" w:color="auto"/>
            </w:tcBorders>
            <w:vAlign w:val="center"/>
          </w:tcPr>
          <w:p w14:paraId="40C28EF4" w14:textId="77777777" w:rsidR="00CA6388" w:rsidRDefault="00CA6388" w:rsidP="0056313D">
            <w:pPr>
              <w:pStyle w:val="Titre1"/>
              <w:rPr>
                <w:smallCaps/>
              </w:rPr>
            </w:pPr>
            <w:r>
              <w:rPr>
                <w:smallCaps/>
              </w:rPr>
              <w:t>Compétences</w:t>
            </w:r>
          </w:p>
        </w:tc>
        <w:tc>
          <w:tcPr>
            <w:tcW w:w="7773" w:type="dxa"/>
            <w:tcBorders>
              <w:bottom w:val="single" w:sz="4" w:space="0" w:color="auto"/>
            </w:tcBorders>
            <w:vAlign w:val="center"/>
          </w:tcPr>
          <w:p w14:paraId="02F2FF0F" w14:textId="77777777" w:rsidR="00CA6388" w:rsidRPr="00883B5D" w:rsidRDefault="00CA6388" w:rsidP="0056313D">
            <w:pPr>
              <w:pStyle w:val="NormalWeb"/>
              <w:numPr>
                <w:ilvl w:val="0"/>
                <w:numId w:val="1"/>
              </w:numPr>
              <w:rPr>
                <w:color w:val="000000"/>
              </w:rPr>
            </w:pPr>
            <w:r>
              <w:rPr>
                <w:color w:val="000000"/>
              </w:rPr>
              <w:t xml:space="preserve"> Comprendre les besoins du corps (énergie, santé)</w:t>
            </w:r>
          </w:p>
          <w:p w14:paraId="3F2FA2D0" w14:textId="77777777" w:rsidR="00CA6388" w:rsidRDefault="00CA6388" w:rsidP="0056313D">
            <w:pPr>
              <w:pStyle w:val="NormalWeb"/>
              <w:numPr>
                <w:ilvl w:val="0"/>
                <w:numId w:val="1"/>
              </w:numPr>
              <w:rPr>
                <w:color w:val="000000"/>
              </w:rPr>
            </w:pPr>
            <w:r>
              <w:rPr>
                <w:color w:val="000000"/>
              </w:rPr>
              <w:t>Adopter des comportements favorables (mieux manger, boire de l’eau)</w:t>
            </w:r>
          </w:p>
          <w:p w14:paraId="2185E088" w14:textId="77777777" w:rsidR="00CA6388" w:rsidRPr="00883B5D" w:rsidRDefault="00CA6388" w:rsidP="0056313D">
            <w:pPr>
              <w:pStyle w:val="NormalWeb"/>
              <w:numPr>
                <w:ilvl w:val="0"/>
                <w:numId w:val="1"/>
              </w:numPr>
              <w:rPr>
                <w:color w:val="000000"/>
              </w:rPr>
            </w:pPr>
            <w:r>
              <w:rPr>
                <w:color w:val="000000"/>
              </w:rPr>
              <w:t xml:space="preserve">Coopérer, justifier ses choix, communiquer à l’oral. </w:t>
            </w:r>
          </w:p>
        </w:tc>
      </w:tr>
    </w:tbl>
    <w:p w14:paraId="284BAC67" w14:textId="77777777" w:rsidR="00CA6388" w:rsidRDefault="00CA6388" w:rsidP="00CA6388"/>
    <w:tbl>
      <w:tblPr>
        <w:tblW w:w="966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1406"/>
        <w:gridCol w:w="5398"/>
        <w:gridCol w:w="2020"/>
      </w:tblGrid>
      <w:tr w:rsidR="00CA6388" w14:paraId="7BD2EF92" w14:textId="77777777" w:rsidTr="0056313D">
        <w:trPr>
          <w:cantSplit/>
          <w:trHeight w:val="538"/>
        </w:trPr>
        <w:tc>
          <w:tcPr>
            <w:tcW w:w="966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7A21C015" w14:textId="77777777" w:rsidR="00CA6388" w:rsidRDefault="00CA6388" w:rsidP="0056313D">
            <w:pPr>
              <w:jc w:val="center"/>
            </w:pPr>
            <w:r>
              <w:rPr>
                <w:b/>
                <w:bCs/>
                <w:smallCaps/>
                <w:sz w:val="28"/>
              </w:rPr>
              <w:t>Déroulement de la séance</w:t>
            </w:r>
          </w:p>
        </w:tc>
      </w:tr>
      <w:tr w:rsidR="00CA6388" w:rsidRPr="008E2F67" w14:paraId="7A04489A"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8"/>
        </w:trPr>
        <w:tc>
          <w:tcPr>
            <w:tcW w:w="843" w:type="dxa"/>
          </w:tcPr>
          <w:p w14:paraId="663D9D50" w14:textId="77777777" w:rsidR="00CA6388" w:rsidRPr="008E2F67" w:rsidRDefault="00CA6388" w:rsidP="0056313D">
            <w:pPr>
              <w:jc w:val="center"/>
              <w:rPr>
                <w:b/>
                <w:sz w:val="20"/>
                <w:szCs w:val="20"/>
              </w:rPr>
            </w:pPr>
            <w:r w:rsidRPr="008E2F67">
              <w:rPr>
                <w:b/>
                <w:sz w:val="20"/>
                <w:szCs w:val="20"/>
              </w:rPr>
              <w:t>Phases</w:t>
            </w:r>
          </w:p>
        </w:tc>
        <w:tc>
          <w:tcPr>
            <w:tcW w:w="1406" w:type="dxa"/>
          </w:tcPr>
          <w:p w14:paraId="64C8E7D8" w14:textId="77777777" w:rsidR="00CA6388" w:rsidRPr="008E2F67" w:rsidRDefault="00CA6388" w:rsidP="0056313D">
            <w:pPr>
              <w:jc w:val="center"/>
              <w:rPr>
                <w:b/>
                <w:sz w:val="20"/>
                <w:szCs w:val="20"/>
              </w:rPr>
            </w:pPr>
            <w:r w:rsidRPr="008E2F67">
              <w:rPr>
                <w:b/>
                <w:sz w:val="20"/>
                <w:szCs w:val="20"/>
              </w:rPr>
              <w:t>Organisation</w:t>
            </w:r>
          </w:p>
        </w:tc>
        <w:tc>
          <w:tcPr>
            <w:tcW w:w="5398" w:type="dxa"/>
          </w:tcPr>
          <w:p w14:paraId="0A7324E3" w14:textId="77777777" w:rsidR="00CA6388" w:rsidRPr="008E2F67" w:rsidRDefault="00CA6388" w:rsidP="0056313D">
            <w:pPr>
              <w:jc w:val="center"/>
              <w:rPr>
                <w:b/>
                <w:sz w:val="20"/>
                <w:szCs w:val="20"/>
              </w:rPr>
            </w:pPr>
            <w:r w:rsidRPr="008E2F67">
              <w:rPr>
                <w:b/>
                <w:sz w:val="20"/>
                <w:szCs w:val="20"/>
              </w:rPr>
              <w:t>Activités</w:t>
            </w:r>
          </w:p>
        </w:tc>
        <w:tc>
          <w:tcPr>
            <w:tcW w:w="2019" w:type="dxa"/>
          </w:tcPr>
          <w:p w14:paraId="7E5ABCA7" w14:textId="77777777" w:rsidR="00CA6388" w:rsidRPr="008E2F67" w:rsidRDefault="00CA6388" w:rsidP="0056313D">
            <w:pPr>
              <w:jc w:val="center"/>
              <w:rPr>
                <w:b/>
                <w:sz w:val="20"/>
                <w:szCs w:val="20"/>
              </w:rPr>
            </w:pPr>
            <w:r>
              <w:rPr>
                <w:b/>
                <w:sz w:val="20"/>
                <w:szCs w:val="20"/>
              </w:rPr>
              <w:t>Matériel</w:t>
            </w:r>
          </w:p>
        </w:tc>
      </w:tr>
      <w:tr w:rsidR="00CA6388" w:rsidRPr="008E2F67" w14:paraId="4ED244B7"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57"/>
        </w:trPr>
        <w:tc>
          <w:tcPr>
            <w:tcW w:w="843" w:type="dxa"/>
            <w:textDirection w:val="btLr"/>
            <w:vAlign w:val="center"/>
          </w:tcPr>
          <w:p w14:paraId="11623868" w14:textId="77777777" w:rsidR="00CA6388" w:rsidRPr="008E2F67" w:rsidRDefault="00CA6388" w:rsidP="0056313D">
            <w:pPr>
              <w:ind w:left="113" w:right="113"/>
              <w:rPr>
                <w:b/>
                <w:sz w:val="20"/>
                <w:szCs w:val="20"/>
              </w:rPr>
            </w:pPr>
            <w:r>
              <w:rPr>
                <w:b/>
                <w:sz w:val="20"/>
                <w:szCs w:val="20"/>
              </w:rPr>
              <w:t xml:space="preserve">   Situation mobilisatrice</w:t>
            </w:r>
          </w:p>
        </w:tc>
        <w:tc>
          <w:tcPr>
            <w:tcW w:w="1406" w:type="dxa"/>
            <w:vAlign w:val="center"/>
          </w:tcPr>
          <w:p w14:paraId="001A9606" w14:textId="77777777" w:rsidR="00CA6388" w:rsidRPr="008E2F67" w:rsidRDefault="00CA6388" w:rsidP="0056313D">
            <w:pPr>
              <w:rPr>
                <w:sz w:val="20"/>
                <w:szCs w:val="20"/>
              </w:rPr>
            </w:pPr>
            <w:r w:rsidRPr="008E2F67">
              <w:rPr>
                <w:sz w:val="20"/>
                <w:szCs w:val="20"/>
              </w:rPr>
              <w:t xml:space="preserve"> Minutes</w:t>
            </w:r>
            <w:r>
              <w:rPr>
                <w:sz w:val="20"/>
                <w:szCs w:val="20"/>
              </w:rPr>
              <w:t> : 30 min</w:t>
            </w:r>
          </w:p>
        </w:tc>
        <w:tc>
          <w:tcPr>
            <w:tcW w:w="5398" w:type="dxa"/>
          </w:tcPr>
          <w:p w14:paraId="16FA060D" w14:textId="77777777" w:rsidR="00CA6388" w:rsidRPr="001F79E6" w:rsidRDefault="00CA6388" w:rsidP="0056313D">
            <w:pPr>
              <w:rPr>
                <w:sz w:val="20"/>
                <w:szCs w:val="20"/>
              </w:rPr>
            </w:pPr>
            <w:r w:rsidRPr="00883B5D">
              <w:t xml:space="preserve"> </w:t>
            </w:r>
          </w:p>
          <w:p w14:paraId="10C6D819" w14:textId="77777777" w:rsidR="00CA6388" w:rsidRDefault="00CA6388" w:rsidP="0056313D">
            <w:pPr>
              <w:rPr>
                <w:lang w:val="fr-FR"/>
              </w:rPr>
            </w:pPr>
            <w:r w:rsidRPr="00561D07">
              <w:t>L’enseignant explique aux élèves la situation : « </w:t>
            </w:r>
            <w:r>
              <w:rPr>
                <w:lang w:val="fr-FR"/>
              </w:rPr>
              <w:t>Les Red Lions et les Red Panthers se préparent pour la Coupe du Monde de hockey à Wavre. Mais catastrophe, leur cuisinier officiel est malade. On nous a engagés comme nutritionnistes sportifs pour préparer le repas des joueurs. Mais attention, il faut leur donner des aliments qui leur donneront de l’énergie pour bien jouer. »</w:t>
            </w:r>
          </w:p>
          <w:p w14:paraId="375D01D8" w14:textId="77777777" w:rsidR="00CA6388" w:rsidRDefault="00CA6388" w:rsidP="0056313D">
            <w:pPr>
              <w:rPr>
                <w:lang w:val="fr-FR"/>
              </w:rPr>
            </w:pPr>
          </w:p>
          <w:p w14:paraId="061C8170" w14:textId="77777777" w:rsidR="00CA6388" w:rsidRDefault="00CA6388" w:rsidP="0056313D">
            <w:r>
              <w:t xml:space="preserve">Les élèves reçoivent des images de différents aliments (fruits, pâtes, chips, boissons sucrées, eau, chocolat, légumes, poisson...). </w:t>
            </w:r>
          </w:p>
          <w:p w14:paraId="0E9E53B2" w14:textId="77777777" w:rsidR="00CA6388" w:rsidRDefault="00CA6388" w:rsidP="0056313D"/>
          <w:p w14:paraId="6AFD9B5E" w14:textId="77777777" w:rsidR="00CA6388" w:rsidRDefault="00CA6388" w:rsidP="0056313D">
            <w:r>
              <w:t xml:space="preserve">L’enseignant demande aux élèves (individuellement) de classer les aliments en bons choix et en mauvais choix pour avant match et classer l’assiette idéale du joueur de hockey. </w:t>
            </w:r>
          </w:p>
          <w:p w14:paraId="1E3E5ED6" w14:textId="77777777" w:rsidR="00CA6388" w:rsidRPr="00561D07" w:rsidRDefault="00CA6388" w:rsidP="0056313D">
            <w:pPr>
              <w:rPr>
                <w:sz w:val="20"/>
                <w:szCs w:val="20"/>
              </w:rPr>
            </w:pPr>
            <w:r>
              <w:t xml:space="preserve">Ensuite, les élèves confrontent leurs idées avec leur voisin afin de se mettre d’accord sur une réponse finale. </w:t>
            </w:r>
          </w:p>
          <w:p w14:paraId="59C8EA9E" w14:textId="77777777" w:rsidR="00CA6388" w:rsidRPr="00561D07" w:rsidRDefault="00CA6388" w:rsidP="0056313D">
            <w:pPr>
              <w:rPr>
                <w:sz w:val="20"/>
                <w:szCs w:val="20"/>
              </w:rPr>
            </w:pPr>
          </w:p>
        </w:tc>
        <w:tc>
          <w:tcPr>
            <w:tcW w:w="2019" w:type="dxa"/>
          </w:tcPr>
          <w:p w14:paraId="0BDD960E" w14:textId="77777777" w:rsidR="00CA6388" w:rsidRPr="008E2F67" w:rsidRDefault="00CA6388" w:rsidP="0056313D">
            <w:pPr>
              <w:jc w:val="both"/>
              <w:rPr>
                <w:sz w:val="20"/>
                <w:szCs w:val="20"/>
              </w:rPr>
            </w:pPr>
            <w:r>
              <w:rPr>
                <w:sz w:val="20"/>
                <w:szCs w:val="20"/>
              </w:rPr>
              <w:t>Des images d’aliments, des assiettes.</w:t>
            </w:r>
          </w:p>
        </w:tc>
      </w:tr>
      <w:tr w:rsidR="00CA6388" w:rsidRPr="008E2F67" w14:paraId="5FB9E936"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61"/>
        </w:trPr>
        <w:tc>
          <w:tcPr>
            <w:tcW w:w="843" w:type="dxa"/>
            <w:textDirection w:val="btLr"/>
            <w:vAlign w:val="center"/>
          </w:tcPr>
          <w:p w14:paraId="73A31212" w14:textId="77777777" w:rsidR="00CA6388" w:rsidRPr="008E2F67" w:rsidRDefault="00CA6388" w:rsidP="0056313D">
            <w:pPr>
              <w:rPr>
                <w:b/>
                <w:sz w:val="20"/>
                <w:szCs w:val="20"/>
              </w:rPr>
            </w:pPr>
            <w:r>
              <w:rPr>
                <w:b/>
                <w:sz w:val="20"/>
                <w:szCs w:val="20"/>
              </w:rPr>
              <w:t xml:space="preserve">   Mise en commun</w:t>
            </w:r>
          </w:p>
        </w:tc>
        <w:tc>
          <w:tcPr>
            <w:tcW w:w="1406" w:type="dxa"/>
            <w:vAlign w:val="center"/>
          </w:tcPr>
          <w:p w14:paraId="51F92477" w14:textId="77777777" w:rsidR="00CA6388" w:rsidRPr="008E2F67" w:rsidRDefault="00CA6388" w:rsidP="0056313D">
            <w:pPr>
              <w:jc w:val="center"/>
              <w:rPr>
                <w:sz w:val="20"/>
                <w:szCs w:val="20"/>
              </w:rPr>
            </w:pPr>
          </w:p>
          <w:p w14:paraId="5DF8C0AC" w14:textId="77777777" w:rsidR="00CA6388" w:rsidRPr="008E2F67" w:rsidRDefault="00CA6388" w:rsidP="0056313D">
            <w:pPr>
              <w:jc w:val="center"/>
              <w:rPr>
                <w:sz w:val="20"/>
                <w:szCs w:val="20"/>
              </w:rPr>
            </w:pPr>
          </w:p>
          <w:p w14:paraId="2B045F5A" w14:textId="77777777" w:rsidR="00CA6388" w:rsidRPr="008E2F67" w:rsidRDefault="00CA6388" w:rsidP="0056313D">
            <w:pPr>
              <w:jc w:val="center"/>
              <w:rPr>
                <w:sz w:val="20"/>
                <w:szCs w:val="20"/>
              </w:rPr>
            </w:pPr>
            <w:r w:rsidRPr="008E2F67">
              <w:rPr>
                <w:sz w:val="20"/>
                <w:szCs w:val="20"/>
              </w:rPr>
              <w:t xml:space="preserve"> Minutes</w:t>
            </w:r>
            <w:r>
              <w:rPr>
                <w:sz w:val="20"/>
                <w:szCs w:val="20"/>
              </w:rPr>
              <w:t> : 20 min</w:t>
            </w:r>
          </w:p>
        </w:tc>
        <w:tc>
          <w:tcPr>
            <w:tcW w:w="5398" w:type="dxa"/>
          </w:tcPr>
          <w:p w14:paraId="61CAC381" w14:textId="77777777" w:rsidR="00CA6388" w:rsidRDefault="00CA6388" w:rsidP="0056313D">
            <w:pPr>
              <w:jc w:val="both"/>
            </w:pPr>
            <w:r w:rsidRPr="00840B42">
              <w:t xml:space="preserve">Chaque groupe présente son </w:t>
            </w:r>
            <w:r>
              <w:t xml:space="preserve">assiette. </w:t>
            </w:r>
            <w:r w:rsidRPr="00840B42">
              <w:t xml:space="preserve"> </w:t>
            </w:r>
          </w:p>
          <w:p w14:paraId="3ABB1477" w14:textId="77777777" w:rsidR="00CA6388" w:rsidRDefault="00CA6388" w:rsidP="0056313D">
            <w:pPr>
              <w:jc w:val="both"/>
            </w:pPr>
            <w:r>
              <w:t xml:space="preserve">Les élèves se corrigent entre eux et avec l’aide de l’enseignant. </w:t>
            </w:r>
          </w:p>
          <w:p w14:paraId="360CE296" w14:textId="77777777" w:rsidR="00CA6388" w:rsidRDefault="00CA6388" w:rsidP="0056313D">
            <w:pPr>
              <w:jc w:val="both"/>
            </w:pPr>
            <w:r>
              <w:t>L’enseignant discute avec les élèves et leur demande : « pourquoi avez-vous choisi tel aliment ? », « que se passe-t-il si un joueur mange trop de sucreries avant un match ? ».</w:t>
            </w:r>
          </w:p>
          <w:p w14:paraId="275D67AA" w14:textId="77777777" w:rsidR="00CA6388" w:rsidRDefault="00CA6388" w:rsidP="0056313D">
            <w:pPr>
              <w:jc w:val="both"/>
            </w:pPr>
          </w:p>
          <w:p w14:paraId="455EB010" w14:textId="77777777" w:rsidR="00CA6388" w:rsidRPr="008E2F67" w:rsidRDefault="00CA6388" w:rsidP="0056313D">
            <w:pPr>
              <w:jc w:val="both"/>
              <w:rPr>
                <w:sz w:val="20"/>
                <w:szCs w:val="20"/>
              </w:rPr>
            </w:pPr>
            <w:r>
              <w:t xml:space="preserve">L’enseignant montre la pyramide alimentaire aux élèves et la leur explique. </w:t>
            </w:r>
          </w:p>
        </w:tc>
        <w:tc>
          <w:tcPr>
            <w:tcW w:w="2019" w:type="dxa"/>
          </w:tcPr>
          <w:p w14:paraId="5C951E57" w14:textId="77777777" w:rsidR="00CA6388" w:rsidRPr="008E2F67" w:rsidRDefault="00CA6388" w:rsidP="0056313D">
            <w:pPr>
              <w:jc w:val="both"/>
              <w:rPr>
                <w:sz w:val="20"/>
                <w:szCs w:val="20"/>
              </w:rPr>
            </w:pPr>
          </w:p>
        </w:tc>
      </w:tr>
      <w:tr w:rsidR="00CA6388" w:rsidRPr="008E2F67" w14:paraId="674ADB25"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86"/>
        </w:trPr>
        <w:tc>
          <w:tcPr>
            <w:tcW w:w="843" w:type="dxa"/>
            <w:textDirection w:val="btLr"/>
            <w:vAlign w:val="center"/>
          </w:tcPr>
          <w:p w14:paraId="7A34B540" w14:textId="77777777" w:rsidR="00CA6388" w:rsidRPr="008E2F67" w:rsidRDefault="00CA6388" w:rsidP="0056313D">
            <w:pPr>
              <w:jc w:val="center"/>
              <w:rPr>
                <w:b/>
                <w:sz w:val="20"/>
                <w:szCs w:val="20"/>
              </w:rPr>
            </w:pPr>
            <w:r>
              <w:rPr>
                <w:b/>
                <w:sz w:val="20"/>
                <w:szCs w:val="20"/>
              </w:rPr>
              <w:lastRenderedPageBreak/>
              <w:t xml:space="preserve">Structuration </w:t>
            </w:r>
          </w:p>
        </w:tc>
        <w:tc>
          <w:tcPr>
            <w:tcW w:w="1406" w:type="dxa"/>
            <w:vAlign w:val="center"/>
          </w:tcPr>
          <w:p w14:paraId="531A4306" w14:textId="77777777" w:rsidR="00CA6388" w:rsidRPr="008E2F67" w:rsidRDefault="00CA6388" w:rsidP="0056313D">
            <w:pPr>
              <w:jc w:val="center"/>
              <w:rPr>
                <w:sz w:val="20"/>
                <w:szCs w:val="20"/>
              </w:rPr>
            </w:pPr>
          </w:p>
          <w:p w14:paraId="318A10E0" w14:textId="77777777" w:rsidR="00CA6388" w:rsidRPr="008E2F67" w:rsidRDefault="00CA6388" w:rsidP="0056313D">
            <w:pPr>
              <w:jc w:val="center"/>
              <w:rPr>
                <w:sz w:val="20"/>
                <w:szCs w:val="20"/>
              </w:rPr>
            </w:pPr>
          </w:p>
          <w:p w14:paraId="18B63718" w14:textId="77777777" w:rsidR="00CA6388" w:rsidRPr="008E2F67" w:rsidRDefault="00CA6388" w:rsidP="0056313D">
            <w:pPr>
              <w:jc w:val="center"/>
              <w:rPr>
                <w:sz w:val="20"/>
                <w:szCs w:val="20"/>
              </w:rPr>
            </w:pPr>
            <w:r w:rsidRPr="008E2F67">
              <w:rPr>
                <w:sz w:val="20"/>
                <w:szCs w:val="20"/>
              </w:rPr>
              <w:t>Minutes</w:t>
            </w:r>
            <w:r>
              <w:rPr>
                <w:sz w:val="20"/>
                <w:szCs w:val="20"/>
              </w:rPr>
              <w:t> : 30 min</w:t>
            </w:r>
          </w:p>
        </w:tc>
        <w:tc>
          <w:tcPr>
            <w:tcW w:w="5398" w:type="dxa"/>
          </w:tcPr>
          <w:p w14:paraId="216C65C4" w14:textId="77777777" w:rsidR="00CA6388" w:rsidRPr="00EA7CA2" w:rsidRDefault="00CA6388" w:rsidP="0056313D">
            <w:pPr>
              <w:jc w:val="both"/>
            </w:pPr>
            <w:r>
              <w:t xml:space="preserve"> L’enseignant construit avec les élèves la structuration sur un panneau. La panneau est séparé en trois parties : les aliments qui donnent de l’énergie (féculents, fruits), les aliments qui aident le corps à rester en bonne santé (légumes, protéines) et ceux qui fatiguent ou ne sont pas adaptés (trop gras, trop sucrés). Les aliments sont dessinés par les élèves. Il est ensuite affiché en classe. </w:t>
            </w:r>
          </w:p>
        </w:tc>
        <w:tc>
          <w:tcPr>
            <w:tcW w:w="2019" w:type="dxa"/>
          </w:tcPr>
          <w:p w14:paraId="5688E612" w14:textId="77777777" w:rsidR="00CA6388" w:rsidRDefault="00CA6388" w:rsidP="0056313D">
            <w:pPr>
              <w:jc w:val="both"/>
              <w:rPr>
                <w:sz w:val="20"/>
                <w:szCs w:val="20"/>
              </w:rPr>
            </w:pPr>
          </w:p>
          <w:p w14:paraId="5CEF2085" w14:textId="77777777" w:rsidR="00CA6388" w:rsidRDefault="00CA6388" w:rsidP="0056313D">
            <w:pPr>
              <w:jc w:val="both"/>
              <w:rPr>
                <w:sz w:val="20"/>
                <w:szCs w:val="20"/>
              </w:rPr>
            </w:pPr>
          </w:p>
          <w:p w14:paraId="5CBF824E" w14:textId="77777777" w:rsidR="00CA6388" w:rsidRDefault="00CA6388" w:rsidP="0056313D">
            <w:pPr>
              <w:jc w:val="both"/>
              <w:rPr>
                <w:sz w:val="20"/>
                <w:szCs w:val="20"/>
              </w:rPr>
            </w:pPr>
          </w:p>
          <w:p w14:paraId="39F6CB12" w14:textId="77777777" w:rsidR="00CA6388" w:rsidRDefault="00CA6388" w:rsidP="0056313D">
            <w:pPr>
              <w:jc w:val="both"/>
              <w:rPr>
                <w:sz w:val="20"/>
                <w:szCs w:val="20"/>
              </w:rPr>
            </w:pPr>
          </w:p>
          <w:p w14:paraId="4BD9381F" w14:textId="77777777" w:rsidR="00CA6388" w:rsidRPr="008E2F67" w:rsidRDefault="00CA6388" w:rsidP="0056313D">
            <w:pPr>
              <w:jc w:val="both"/>
              <w:rPr>
                <w:sz w:val="20"/>
                <w:szCs w:val="20"/>
              </w:rPr>
            </w:pPr>
          </w:p>
        </w:tc>
      </w:tr>
    </w:tbl>
    <w:p w14:paraId="27117E96" w14:textId="77777777" w:rsidR="00CA6388" w:rsidRDefault="00CA6388"/>
    <w:p w14:paraId="2BC11680" w14:textId="77777777" w:rsidR="00CA6388" w:rsidRDefault="00CA6388"/>
    <w:p w14:paraId="092C84A0" w14:textId="77777777" w:rsidR="00CA6388" w:rsidRDefault="00CA6388"/>
    <w:p w14:paraId="773E9A99" w14:textId="77777777" w:rsidR="00CA6388" w:rsidRDefault="00CA6388"/>
    <w:p w14:paraId="06622042" w14:textId="77777777" w:rsidR="00CA6388" w:rsidRDefault="00CA6388"/>
    <w:p w14:paraId="221D46AB" w14:textId="77777777" w:rsidR="00CA6388" w:rsidRDefault="00CA6388"/>
    <w:p w14:paraId="49538D83" w14:textId="77777777" w:rsidR="00CA6388" w:rsidRDefault="00CA6388"/>
    <w:p w14:paraId="3B6342B4" w14:textId="77777777" w:rsidR="00CA6388" w:rsidRDefault="00CA6388"/>
    <w:p w14:paraId="097F56FD" w14:textId="77777777" w:rsidR="00CA6388" w:rsidRDefault="00CA6388"/>
    <w:p w14:paraId="1FD54731" w14:textId="77777777" w:rsidR="00CA6388" w:rsidRDefault="00CA6388"/>
    <w:p w14:paraId="5C1FC294" w14:textId="77777777" w:rsidR="00CA6388" w:rsidRDefault="00CA6388"/>
    <w:p w14:paraId="31444FA2" w14:textId="77777777" w:rsidR="00CA6388" w:rsidRDefault="00CA6388"/>
    <w:p w14:paraId="07F74360" w14:textId="77777777" w:rsidR="00CA6388" w:rsidRDefault="00CA6388"/>
    <w:p w14:paraId="41BEFF2A" w14:textId="77777777" w:rsidR="00CA6388" w:rsidRDefault="00CA6388"/>
    <w:p w14:paraId="2952090D" w14:textId="77777777" w:rsidR="00CA6388" w:rsidRDefault="00CA6388"/>
    <w:p w14:paraId="581B328A" w14:textId="77777777" w:rsidR="00CA6388" w:rsidRDefault="00CA6388"/>
    <w:p w14:paraId="00D3A1F1" w14:textId="77777777" w:rsidR="00CA6388" w:rsidRDefault="00CA6388"/>
    <w:p w14:paraId="3E043226" w14:textId="77777777" w:rsidR="00CA6388" w:rsidRDefault="00CA6388"/>
    <w:p w14:paraId="473E0932" w14:textId="77777777" w:rsidR="00CA6388" w:rsidRDefault="00CA6388"/>
    <w:p w14:paraId="684B7302" w14:textId="77777777" w:rsidR="00CA6388" w:rsidRDefault="00CA6388"/>
    <w:p w14:paraId="4BFB886F" w14:textId="77777777" w:rsidR="00CA6388" w:rsidRDefault="00CA6388"/>
    <w:p w14:paraId="2B58B6F0" w14:textId="77777777" w:rsidR="00CA6388" w:rsidRDefault="00CA6388"/>
    <w:p w14:paraId="085C792E" w14:textId="77777777" w:rsidR="00CA6388" w:rsidRDefault="00CA6388"/>
    <w:p w14:paraId="77BD9014" w14:textId="77777777" w:rsidR="00CA6388" w:rsidRDefault="00CA6388"/>
    <w:p w14:paraId="36EBA065" w14:textId="77777777" w:rsidR="00CA6388" w:rsidRDefault="00CA6388"/>
    <w:p w14:paraId="513A1839" w14:textId="7ACE2BA1" w:rsidR="00CA6388" w:rsidRDefault="00CA6388"/>
    <w:sectPr w:rsidR="00CA63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88"/>
    <w:rsid w:val="00401BDD"/>
    <w:rsid w:val="00AC71F1"/>
    <w:rsid w:val="00CA6388"/>
    <w:rsid w:val="00DA0929"/>
    <w:rsid w:val="00E3654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91E5"/>
  <w15:chartTrackingRefBased/>
  <w15:docId w15:val="{8FD5B3FE-FBA3-994F-AEDF-2D7CEE53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8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CA6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6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CA63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63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63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63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63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63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63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A63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63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CA63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63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63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63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63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63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6388"/>
    <w:rPr>
      <w:rFonts w:eastAsiaTheme="majorEastAsia" w:cstheme="majorBidi"/>
      <w:color w:val="272727" w:themeColor="text1" w:themeTint="D8"/>
    </w:rPr>
  </w:style>
  <w:style w:type="paragraph" w:styleId="Titre">
    <w:name w:val="Title"/>
    <w:basedOn w:val="Normal"/>
    <w:next w:val="Normal"/>
    <w:link w:val="TitreCar"/>
    <w:uiPriority w:val="10"/>
    <w:qFormat/>
    <w:rsid w:val="00CA63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63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63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63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6388"/>
    <w:pPr>
      <w:spacing w:before="160"/>
      <w:jc w:val="center"/>
    </w:pPr>
    <w:rPr>
      <w:i/>
      <w:iCs/>
      <w:color w:val="404040" w:themeColor="text1" w:themeTint="BF"/>
    </w:rPr>
  </w:style>
  <w:style w:type="character" w:customStyle="1" w:styleId="CitationCar">
    <w:name w:val="Citation Car"/>
    <w:basedOn w:val="Policepardfaut"/>
    <w:link w:val="Citation"/>
    <w:uiPriority w:val="29"/>
    <w:rsid w:val="00CA6388"/>
    <w:rPr>
      <w:i/>
      <w:iCs/>
      <w:color w:val="404040" w:themeColor="text1" w:themeTint="BF"/>
    </w:rPr>
  </w:style>
  <w:style w:type="paragraph" w:styleId="Paragraphedeliste">
    <w:name w:val="List Paragraph"/>
    <w:basedOn w:val="Normal"/>
    <w:uiPriority w:val="34"/>
    <w:qFormat/>
    <w:rsid w:val="00CA6388"/>
    <w:pPr>
      <w:ind w:left="720"/>
      <w:contextualSpacing/>
    </w:pPr>
  </w:style>
  <w:style w:type="character" w:styleId="Accentuationintense">
    <w:name w:val="Intense Emphasis"/>
    <w:basedOn w:val="Policepardfaut"/>
    <w:uiPriority w:val="21"/>
    <w:qFormat/>
    <w:rsid w:val="00CA6388"/>
    <w:rPr>
      <w:i/>
      <w:iCs/>
      <w:color w:val="0F4761" w:themeColor="accent1" w:themeShade="BF"/>
    </w:rPr>
  </w:style>
  <w:style w:type="paragraph" w:styleId="Citationintense">
    <w:name w:val="Intense Quote"/>
    <w:basedOn w:val="Normal"/>
    <w:next w:val="Normal"/>
    <w:link w:val="CitationintenseCar"/>
    <w:uiPriority w:val="30"/>
    <w:qFormat/>
    <w:rsid w:val="00CA6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6388"/>
    <w:rPr>
      <w:i/>
      <w:iCs/>
      <w:color w:val="0F4761" w:themeColor="accent1" w:themeShade="BF"/>
    </w:rPr>
  </w:style>
  <w:style w:type="character" w:styleId="Rfrenceintense">
    <w:name w:val="Intense Reference"/>
    <w:basedOn w:val="Policepardfaut"/>
    <w:uiPriority w:val="32"/>
    <w:qFormat/>
    <w:rsid w:val="00CA6388"/>
    <w:rPr>
      <w:b/>
      <w:bCs/>
      <w:smallCaps/>
      <w:color w:val="0F4761" w:themeColor="accent1" w:themeShade="BF"/>
      <w:spacing w:val="5"/>
    </w:rPr>
  </w:style>
  <w:style w:type="paragraph" w:styleId="En-tte">
    <w:name w:val="header"/>
    <w:basedOn w:val="Normal"/>
    <w:link w:val="En-tteCar"/>
    <w:semiHidden/>
    <w:rsid w:val="00CA6388"/>
    <w:pPr>
      <w:tabs>
        <w:tab w:val="center" w:pos="4536"/>
        <w:tab w:val="right" w:pos="9072"/>
      </w:tabs>
    </w:pPr>
  </w:style>
  <w:style w:type="character" w:customStyle="1" w:styleId="En-tteCar">
    <w:name w:val="En-tête Car"/>
    <w:basedOn w:val="Policepardfaut"/>
    <w:link w:val="En-tte"/>
    <w:semiHidden/>
    <w:rsid w:val="00CA6388"/>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CA6388"/>
    <w:pPr>
      <w:spacing w:before="100" w:beforeAutospacing="1" w:after="100" w:afterAutospacing="1"/>
    </w:pPr>
  </w:style>
  <w:style w:type="table" w:styleId="Grilledutableau">
    <w:name w:val="Table Grid"/>
    <w:basedOn w:val="TableauNormal"/>
    <w:uiPriority w:val="59"/>
    <w:rsid w:val="00CA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D8817-0FD1-4D53-B3DE-E9530E39508F}">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6838E9B7-BE81-4555-BECF-80C5A844FF01}">
  <ds:schemaRefs>
    <ds:schemaRef ds:uri="http://schemas.microsoft.com/sharepoint/v3/contenttype/forms"/>
  </ds:schemaRefs>
</ds:datastoreItem>
</file>

<file path=customXml/itemProps3.xml><?xml version="1.0" encoding="utf-8"?>
<ds:datastoreItem xmlns:ds="http://schemas.openxmlformats.org/officeDocument/2006/customXml" ds:itemID="{D59F9351-5258-4BEE-8BE2-B5976401AC09}"/>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1955</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3</cp:revision>
  <dcterms:created xsi:type="dcterms:W3CDTF">2025-10-23T09:56:00Z</dcterms:created>
  <dcterms:modified xsi:type="dcterms:W3CDTF">2026-02-26T10:15:00Z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